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414F" w:rsidRPr="006A39AA" w:rsidRDefault="00980590" w:rsidP="005A414F">
      <w:pPr>
        <w:pStyle w:val="PrIText"/>
        <w:jc w:val="right"/>
        <w:rPr>
          <w:noProof w:val="0"/>
          <w:lang w:val="en-GB"/>
        </w:rPr>
      </w:pPr>
      <w:bookmarkStart w:id="0" w:name="_GoBack"/>
      <w:bookmarkEnd w:id="0"/>
      <w:r>
        <w:rPr>
          <w:noProof w:val="0"/>
          <w:lang w:val="en-GB"/>
        </w:rPr>
        <w:t>10.</w:t>
      </w:r>
      <w:r w:rsidR="005A414F" w:rsidRPr="006A39AA">
        <w:rPr>
          <w:noProof w:val="0"/>
          <w:lang w:val="en-GB"/>
        </w:rPr>
        <w:t xml:space="preserve"> </w:t>
      </w:r>
      <w:r>
        <w:rPr>
          <w:noProof w:val="0"/>
          <w:lang w:val="en-GB"/>
        </w:rPr>
        <w:t>July 2019</w:t>
      </w:r>
    </w:p>
    <w:p w:rsidR="005A414F" w:rsidRPr="006A39AA" w:rsidRDefault="005A414F" w:rsidP="005A414F">
      <w:pPr>
        <w:pStyle w:val="PrIText"/>
        <w:jc w:val="right"/>
        <w:rPr>
          <w:noProof w:val="0"/>
          <w:lang w:val="en-GB"/>
        </w:rPr>
      </w:pPr>
    </w:p>
    <w:p w:rsidR="005A414F" w:rsidRPr="00AC2461" w:rsidRDefault="005A414F" w:rsidP="005A414F">
      <w:pPr>
        <w:tabs>
          <w:tab w:val="left" w:pos="426"/>
        </w:tabs>
        <w:rPr>
          <w:rFonts w:ascii="Times" w:hAnsi="Times" w:cs="Times"/>
          <w:sz w:val="36"/>
          <w:szCs w:val="36"/>
          <w:lang w:val="en-US"/>
        </w:rPr>
      </w:pPr>
      <w:r w:rsidRPr="00AC2461">
        <w:rPr>
          <w:rFonts w:ascii="Times" w:hAnsi="Times" w:cs="Times"/>
          <w:sz w:val="36"/>
          <w:szCs w:val="36"/>
          <w:lang w:val="en-US"/>
        </w:rPr>
        <w:t xml:space="preserve">Krones </w:t>
      </w:r>
      <w:r w:rsidR="00980590" w:rsidRPr="00980590">
        <w:rPr>
          <w:rFonts w:ascii="Times" w:hAnsi="Times" w:cs="Times"/>
          <w:sz w:val="36"/>
          <w:szCs w:val="36"/>
          <w:lang w:val="en-US"/>
        </w:rPr>
        <w:t>adjusts its earnings outlook for 2019</w:t>
      </w:r>
    </w:p>
    <w:p w:rsidR="005A414F" w:rsidRPr="005A414F" w:rsidRDefault="005A414F" w:rsidP="005A414F">
      <w:pPr>
        <w:spacing w:after="120" w:line="320" w:lineRule="exact"/>
        <w:rPr>
          <w:rFonts w:ascii="Times" w:hAnsi="Times" w:cs="Times"/>
          <w:sz w:val="22"/>
          <w:szCs w:val="22"/>
          <w:lang w:val="en-US"/>
        </w:rPr>
      </w:pPr>
    </w:p>
    <w:p w:rsidR="00980590" w:rsidRPr="00980590" w:rsidRDefault="00980590" w:rsidP="00980590">
      <w:pPr>
        <w:pStyle w:val="Listenabsatz"/>
        <w:numPr>
          <w:ilvl w:val="0"/>
          <w:numId w:val="8"/>
        </w:numPr>
        <w:spacing w:line="320" w:lineRule="exact"/>
        <w:rPr>
          <w:rFonts w:ascii="Times New Roman" w:hAnsi="Times New Roman" w:cs="Times New Roman"/>
          <w:sz w:val="22"/>
          <w:szCs w:val="22"/>
          <w:lang w:val="en-GB"/>
        </w:rPr>
      </w:pPr>
      <w:r w:rsidRPr="00980590">
        <w:rPr>
          <w:rFonts w:ascii="Times New Roman" w:hAnsi="Times New Roman" w:cs="Times New Roman"/>
          <w:sz w:val="22"/>
          <w:szCs w:val="22"/>
          <w:lang w:val="en-GB"/>
        </w:rPr>
        <w:t xml:space="preserve">Increased costs and unfavorable product mix burden the profitability </w:t>
      </w:r>
    </w:p>
    <w:p w:rsidR="00980590" w:rsidRPr="00980590" w:rsidRDefault="00980590" w:rsidP="00980590">
      <w:pPr>
        <w:pStyle w:val="Listenabsatz"/>
        <w:numPr>
          <w:ilvl w:val="0"/>
          <w:numId w:val="8"/>
        </w:numPr>
        <w:spacing w:line="320" w:lineRule="exact"/>
        <w:rPr>
          <w:rFonts w:ascii="Times New Roman" w:hAnsi="Times New Roman" w:cs="Times New Roman"/>
          <w:sz w:val="22"/>
          <w:szCs w:val="22"/>
          <w:lang w:val="en-GB"/>
        </w:rPr>
      </w:pPr>
      <w:r w:rsidRPr="00980590">
        <w:rPr>
          <w:rFonts w:ascii="Times New Roman" w:hAnsi="Times New Roman" w:cs="Times New Roman"/>
          <w:sz w:val="22"/>
          <w:szCs w:val="22"/>
          <w:lang w:val="en-GB"/>
        </w:rPr>
        <w:t>Based on the actual available figures Krones adjust the margin target for the fiscal year 2019. Krones expects an EBT margin of around 3%</w:t>
      </w:r>
    </w:p>
    <w:p w:rsidR="00980590" w:rsidRPr="00980590" w:rsidRDefault="00980590" w:rsidP="00980590">
      <w:pPr>
        <w:pStyle w:val="Listenabsatz"/>
        <w:numPr>
          <w:ilvl w:val="0"/>
          <w:numId w:val="8"/>
        </w:numPr>
        <w:spacing w:line="320" w:lineRule="exact"/>
        <w:rPr>
          <w:rFonts w:ascii="Times New Roman" w:hAnsi="Times New Roman" w:cs="Times New Roman"/>
          <w:sz w:val="22"/>
          <w:szCs w:val="22"/>
          <w:lang w:val="en-GB"/>
        </w:rPr>
      </w:pPr>
      <w:r w:rsidRPr="00980590">
        <w:rPr>
          <w:rFonts w:ascii="Times New Roman" w:hAnsi="Times New Roman" w:cs="Times New Roman"/>
          <w:sz w:val="22"/>
          <w:szCs w:val="22"/>
          <w:lang w:val="en-GB"/>
        </w:rPr>
        <w:t xml:space="preserve">The board initiates </w:t>
      </w:r>
      <w:proofErr w:type="gramStart"/>
      <w:r w:rsidRPr="00980590">
        <w:rPr>
          <w:rFonts w:ascii="Times New Roman" w:hAnsi="Times New Roman" w:cs="Times New Roman"/>
          <w:sz w:val="22"/>
          <w:szCs w:val="22"/>
          <w:lang w:val="en-GB"/>
        </w:rPr>
        <w:t>measures</w:t>
      </w:r>
      <w:proofErr w:type="gramEnd"/>
      <w:r w:rsidRPr="00980590">
        <w:rPr>
          <w:rFonts w:ascii="Times New Roman" w:hAnsi="Times New Roman" w:cs="Times New Roman"/>
          <w:sz w:val="22"/>
          <w:szCs w:val="22"/>
          <w:lang w:val="en-GB"/>
        </w:rPr>
        <w:t xml:space="preserve"> to increase the earnings, and works on structural changes to strengthen its profitability in the long run</w:t>
      </w:r>
    </w:p>
    <w:p w:rsidR="00980590" w:rsidRDefault="00980590" w:rsidP="00980590">
      <w:pPr>
        <w:pStyle w:val="Listenabsatz"/>
        <w:numPr>
          <w:ilvl w:val="0"/>
          <w:numId w:val="8"/>
        </w:numPr>
        <w:spacing w:line="320" w:lineRule="exact"/>
        <w:rPr>
          <w:rFonts w:ascii="Times New Roman" w:hAnsi="Times New Roman" w:cs="Times New Roman"/>
          <w:sz w:val="22"/>
          <w:szCs w:val="22"/>
          <w:lang w:val="en-GB"/>
        </w:rPr>
      </w:pPr>
      <w:r w:rsidRPr="00980590">
        <w:rPr>
          <w:rFonts w:ascii="Times New Roman" w:hAnsi="Times New Roman" w:cs="Times New Roman"/>
          <w:sz w:val="22"/>
          <w:szCs w:val="22"/>
          <w:lang w:val="en-GB"/>
        </w:rPr>
        <w:t xml:space="preserve">Krones keeps its </w:t>
      </w:r>
      <w:proofErr w:type="spellStart"/>
      <w:r w:rsidRPr="00980590">
        <w:rPr>
          <w:rFonts w:ascii="Times New Roman" w:hAnsi="Times New Roman" w:cs="Times New Roman"/>
          <w:sz w:val="22"/>
          <w:szCs w:val="22"/>
          <w:lang w:val="en-GB"/>
        </w:rPr>
        <w:t>mid term</w:t>
      </w:r>
      <w:proofErr w:type="spellEnd"/>
      <w:r w:rsidRPr="00980590">
        <w:rPr>
          <w:rFonts w:ascii="Times New Roman" w:hAnsi="Times New Roman" w:cs="Times New Roman"/>
          <w:sz w:val="22"/>
          <w:szCs w:val="22"/>
          <w:lang w:val="en-GB"/>
        </w:rPr>
        <w:t xml:space="preserve"> target</w:t>
      </w:r>
      <w:r w:rsidR="00856371">
        <w:rPr>
          <w:rFonts w:ascii="Times New Roman" w:hAnsi="Times New Roman" w:cs="Times New Roman"/>
          <w:sz w:val="22"/>
          <w:szCs w:val="22"/>
          <w:lang w:val="en-GB"/>
        </w:rPr>
        <w:t>s</w:t>
      </w:r>
    </w:p>
    <w:p w:rsidR="00980590" w:rsidRPr="00980590" w:rsidRDefault="00980590" w:rsidP="00980590">
      <w:pPr>
        <w:pStyle w:val="Listenabsatz"/>
        <w:spacing w:line="320" w:lineRule="exact"/>
        <w:ind w:left="360"/>
        <w:rPr>
          <w:rFonts w:ascii="Times New Roman" w:hAnsi="Times New Roman" w:cs="Times New Roman"/>
          <w:sz w:val="22"/>
          <w:szCs w:val="22"/>
          <w:lang w:val="en-GB"/>
        </w:rPr>
      </w:pPr>
    </w:p>
    <w:p w:rsidR="005A414F" w:rsidRPr="005A414F" w:rsidRDefault="00980590" w:rsidP="005A414F">
      <w:pPr>
        <w:spacing w:after="120" w:line="320" w:lineRule="exact"/>
        <w:rPr>
          <w:rFonts w:ascii="Times" w:hAnsi="Times" w:cs="Times"/>
          <w:sz w:val="22"/>
          <w:szCs w:val="22"/>
          <w:lang w:val="en-US"/>
        </w:rPr>
      </w:pPr>
      <w:bookmarkStart w:id="1" w:name="_Hlk13558466"/>
      <w:r w:rsidRPr="00980590">
        <w:rPr>
          <w:rFonts w:ascii="Times" w:hAnsi="Times" w:cs="Times"/>
          <w:sz w:val="22"/>
          <w:szCs w:val="22"/>
          <w:lang w:val="en-US"/>
        </w:rPr>
        <w:t>Based on the actual available figures Krones, the world’s leading manufacturer of filling and packaging technology, adjusts its earnings outlook for the fiscal year 2019.</w:t>
      </w:r>
      <w:bookmarkEnd w:id="1"/>
      <w:r w:rsidRPr="00980590">
        <w:rPr>
          <w:rFonts w:ascii="Times" w:hAnsi="Times" w:cs="Times"/>
          <w:sz w:val="22"/>
          <w:szCs w:val="22"/>
          <w:lang w:val="en-US"/>
        </w:rPr>
        <w:t xml:space="preserve"> The uncertain macroeconomic developments, like the unsolved trade conflict between China and USA, as well as the discussion about the sustainability of PET-Packaging, negatively influence the customers of Krones and their willingness to invest. </w:t>
      </w:r>
      <w:bookmarkStart w:id="2" w:name="_Hlk13558521"/>
      <w:r w:rsidRPr="00980590">
        <w:rPr>
          <w:rFonts w:ascii="Times" w:hAnsi="Times" w:cs="Times"/>
          <w:sz w:val="22"/>
          <w:szCs w:val="22"/>
          <w:lang w:val="en-US"/>
        </w:rPr>
        <w:t>Nevertheless, the revenue growth of Krones in the first six month of 2019 were still satisfactory. However, the earnings before tax (EBT) for this period will be significantly below the expectations of Krones.</w:t>
      </w:r>
      <w:bookmarkEnd w:id="2"/>
      <w:r w:rsidRPr="009D655B">
        <w:rPr>
          <w:rFonts w:cs="Arial"/>
          <w:lang w:val="en-US"/>
        </w:rPr>
        <w:t xml:space="preserve">  </w:t>
      </w:r>
    </w:p>
    <w:p w:rsidR="00EE5E59" w:rsidRDefault="00980590" w:rsidP="005C5C49">
      <w:pPr>
        <w:pStyle w:val="PrIText"/>
        <w:spacing w:before="240" w:after="120"/>
        <w:rPr>
          <w:rFonts w:cs="Arial"/>
          <w:b/>
          <w:sz w:val="24"/>
          <w:lang w:val="en-US"/>
        </w:rPr>
      </w:pPr>
      <w:r w:rsidRPr="00980590">
        <w:rPr>
          <w:sz w:val="28"/>
          <w:lang w:val="en-GB"/>
        </w:rPr>
        <w:t>Increased costs and unfavorable product mix burden the profitability</w:t>
      </w:r>
    </w:p>
    <w:p w:rsidR="00980590" w:rsidRPr="00E26075" w:rsidRDefault="00980590" w:rsidP="00EE5E59">
      <w:pPr>
        <w:pStyle w:val="PrIText"/>
        <w:spacing w:before="120" w:after="120"/>
        <w:rPr>
          <w:lang w:val="en-GB"/>
        </w:rPr>
      </w:pPr>
      <w:r w:rsidRPr="00E26075">
        <w:rPr>
          <w:lang w:val="en-GB"/>
        </w:rPr>
        <w:t xml:space="preserve">The profitability of Krones is influenced by high costs, in particular the material cost ratio remains on high level. Krones expected, that the weaker economic outlook in other important industries in 2019 would have resulted in a small easing in the increasing of material costs. Also, the additional measures, which are implemented by Krones to reduce the material costs materialize with a delay. Furthermore, the product mix has an unfavorable effect on the earnings for the period January till June 2019. Especially in the second quarter 2019 the sales of products with a high own value added, like machines and lines for the plastic technology, were lower than expected. In the plastic technology Krones offers extensive products and services for the packaging and filling of beverages in plastic containers like PET-bottles. However, the current discussion about the PET-packaging solution will open opportunities for Krones for innovative solutions. </w:t>
      </w:r>
    </w:p>
    <w:p w:rsidR="00E26075" w:rsidRPr="00E26075" w:rsidRDefault="00E26075" w:rsidP="00E26075">
      <w:pPr>
        <w:pStyle w:val="PrIText"/>
        <w:spacing w:after="120"/>
        <w:rPr>
          <w:lang w:val="en-GB"/>
        </w:rPr>
      </w:pPr>
      <w:r w:rsidRPr="00E26075">
        <w:rPr>
          <w:lang w:val="en-GB"/>
        </w:rPr>
        <w:t>Another important reason for the actual earnings development is the sales growth of the high-margin after sales business (LCS), which were in the first 6 month of 2019 below expectations. This results from the demand of the customer of Krones for some parts of the LCS product and service offering, which were negatively influenced by the macroeconomic uncertainties. In the second half year this LCS business is expected to recover.</w:t>
      </w:r>
    </w:p>
    <w:p w:rsidR="00EE5E59" w:rsidRDefault="00EE5E59" w:rsidP="00EE5E59">
      <w:pPr>
        <w:pStyle w:val="PrIText"/>
        <w:spacing w:before="240" w:after="120"/>
        <w:rPr>
          <w:sz w:val="28"/>
          <w:lang w:val="en-GB"/>
        </w:rPr>
      </w:pPr>
    </w:p>
    <w:p w:rsidR="00EE5E59" w:rsidRDefault="00EE5E59" w:rsidP="00EE5E59">
      <w:pPr>
        <w:pStyle w:val="PrIText"/>
        <w:spacing w:before="240" w:after="120"/>
        <w:rPr>
          <w:sz w:val="28"/>
          <w:lang w:val="en-GB"/>
        </w:rPr>
      </w:pPr>
    </w:p>
    <w:p w:rsidR="00EE5E59" w:rsidRDefault="00E26075" w:rsidP="00EE5E59">
      <w:pPr>
        <w:pStyle w:val="PrIText"/>
        <w:spacing w:before="240" w:after="120"/>
        <w:rPr>
          <w:sz w:val="28"/>
          <w:lang w:val="en-GB"/>
        </w:rPr>
      </w:pPr>
      <w:r w:rsidRPr="00E26075">
        <w:rPr>
          <w:sz w:val="28"/>
          <w:lang w:val="en-GB"/>
        </w:rPr>
        <w:lastRenderedPageBreak/>
        <w:t>Outlook</w:t>
      </w:r>
    </w:p>
    <w:p w:rsidR="00E26075" w:rsidRPr="00E26075" w:rsidRDefault="00E26075" w:rsidP="00E26075">
      <w:pPr>
        <w:pStyle w:val="PrIText"/>
        <w:spacing w:after="120"/>
        <w:rPr>
          <w:lang w:val="en-GB"/>
        </w:rPr>
      </w:pPr>
      <w:r w:rsidRPr="00E26075">
        <w:rPr>
          <w:lang w:val="en-GB"/>
        </w:rPr>
        <w:t xml:space="preserve">Krones still expects an unchanged growth target of 3% in 2019. The EBT margin is planned around 3% (prior target: around 6%). For its third target, working capital to revenue, Krones expects an unchanged figure of 26%.  </w:t>
      </w:r>
    </w:p>
    <w:p w:rsidR="00E26075" w:rsidRPr="00E26075" w:rsidRDefault="00E26075" w:rsidP="00E26075">
      <w:pPr>
        <w:pStyle w:val="PrIText"/>
        <w:spacing w:after="120"/>
        <w:rPr>
          <w:lang w:val="en-GB"/>
        </w:rPr>
      </w:pPr>
      <w:r w:rsidRPr="00E26075">
        <w:rPr>
          <w:lang w:val="en-GB"/>
        </w:rPr>
        <w:t xml:space="preserve">The board has taken measures in order to counteract the earnings decline. This includes among others a hiring freeze and measures to reduce the material costs. The current global footprint is on track. For example, the new plant in Hungary is according to budget and time schedule. During the second quarter of 2019, Krones will increase its production in Hungary with a positive margin contribution in 2020. </w:t>
      </w:r>
    </w:p>
    <w:p w:rsidR="00E26075" w:rsidRPr="00E26075" w:rsidRDefault="00E26075" w:rsidP="00E26075">
      <w:pPr>
        <w:pStyle w:val="PrIText"/>
        <w:spacing w:after="120"/>
        <w:rPr>
          <w:lang w:val="en-GB"/>
        </w:rPr>
      </w:pPr>
      <w:r w:rsidRPr="00E26075">
        <w:rPr>
          <w:lang w:val="en-GB"/>
        </w:rPr>
        <w:t xml:space="preserve">By its global footprint Krones will not only use competitive cost advantages, but also take advantage of regional market opportunities. The closer Krones is to its customers, the better the company can understood customer needs and local requirements </w:t>
      </w:r>
    </w:p>
    <w:p w:rsidR="00E26075" w:rsidRPr="00E26075" w:rsidRDefault="00E26075" w:rsidP="00E26075">
      <w:pPr>
        <w:pStyle w:val="PrIText"/>
        <w:spacing w:after="120"/>
        <w:rPr>
          <w:lang w:val="en-GB"/>
        </w:rPr>
      </w:pPr>
      <w:r w:rsidRPr="00E26075">
        <w:rPr>
          <w:lang w:val="en-GB"/>
        </w:rPr>
        <w:t xml:space="preserve">The strategic measures that Krones has introduced so far, like the price increase and the development of the global footprint are however not sufficient to reach the ambitious targets. Hence, the board is working in additional structural changes in order to strengthen its earning level in the long run. Focus areas are reduction of complexity, an agile reaction to market needs as well as a corporate structure, which serves the customer even better. </w:t>
      </w:r>
    </w:p>
    <w:p w:rsidR="00E26075" w:rsidRPr="00E26075" w:rsidRDefault="00E26075" w:rsidP="00E26075">
      <w:pPr>
        <w:pStyle w:val="PrIText"/>
        <w:spacing w:after="120"/>
        <w:rPr>
          <w:lang w:val="en-GB"/>
        </w:rPr>
      </w:pPr>
      <w:r w:rsidRPr="00E26075">
        <w:rPr>
          <w:lang w:val="en-GB"/>
        </w:rPr>
        <w:t xml:space="preserve">Krones keeps its mid term targets. Depending on the macro economic environment and development of Krones markets, the board envisages a year-on-year revenue growth of 3 to 5% without acquisition effects, an EBT margin of 6 to 8% and a working capital to revenue ratio of 22 to 24%. </w:t>
      </w:r>
    </w:p>
    <w:p w:rsidR="00E26075" w:rsidRPr="00E26075" w:rsidRDefault="00E26075" w:rsidP="00E26075">
      <w:pPr>
        <w:pStyle w:val="PrIText"/>
        <w:spacing w:after="120"/>
        <w:rPr>
          <w:lang w:val="en-GB"/>
        </w:rPr>
      </w:pPr>
      <w:r w:rsidRPr="00E26075">
        <w:rPr>
          <w:lang w:val="en-GB"/>
        </w:rPr>
        <w:t xml:space="preserve">Krones will publish the interim report as of June 30th of 2019 by 25th of July 2019. </w:t>
      </w:r>
    </w:p>
    <w:p w:rsidR="005643A4" w:rsidRPr="00AF226F" w:rsidRDefault="005A414F" w:rsidP="00AF226F">
      <w:pPr>
        <w:pStyle w:val="PrIText"/>
        <w:spacing w:after="120"/>
        <w:rPr>
          <w:lang w:val="en-GB"/>
        </w:rPr>
      </w:pPr>
      <w:r w:rsidRPr="00E26075">
        <w:rPr>
          <w:lang w:val="en-GB"/>
        </w:rPr>
        <w:t xml:space="preserve"> </w:t>
      </w:r>
    </w:p>
    <w:p w:rsidR="005A414F" w:rsidRDefault="005A414F" w:rsidP="00820C17">
      <w:pPr>
        <w:rPr>
          <w:lang w:val="en-US"/>
        </w:rPr>
      </w:pPr>
    </w:p>
    <w:p w:rsidR="00453052" w:rsidRPr="00996D8A" w:rsidRDefault="00453052" w:rsidP="00453052">
      <w:pPr>
        <w:pStyle w:val="PrIText"/>
        <w:rPr>
          <w:rFonts w:ascii="Times New Roman" w:hAnsi="Times New Roman"/>
          <w:b/>
          <w:bCs/>
          <w:noProof w:val="0"/>
          <w:lang w:val="en-US"/>
        </w:rPr>
      </w:pPr>
      <w:r w:rsidRPr="00996D8A">
        <w:rPr>
          <w:rFonts w:ascii="Times New Roman" w:hAnsi="Times New Roman"/>
          <w:b/>
          <w:bCs/>
          <w:noProof w:val="0"/>
          <w:lang w:val="en-US"/>
        </w:rPr>
        <w:t>Contact:</w:t>
      </w:r>
    </w:p>
    <w:p w:rsidR="00453052" w:rsidRPr="00996D8A" w:rsidRDefault="00E26075" w:rsidP="00453052">
      <w:pPr>
        <w:pStyle w:val="PrIText"/>
        <w:rPr>
          <w:rFonts w:ascii="Times New Roman" w:hAnsi="Times New Roman"/>
          <w:noProof w:val="0"/>
          <w:lang w:val="en-US"/>
        </w:rPr>
      </w:pPr>
      <w:r>
        <w:rPr>
          <w:rFonts w:ascii="Times New Roman" w:hAnsi="Times New Roman"/>
          <w:noProof w:val="0"/>
          <w:lang w:val="en-US"/>
        </w:rPr>
        <w:t>Ingrid Reuschl</w:t>
      </w:r>
    </w:p>
    <w:p w:rsidR="00453052" w:rsidRPr="00996D8A" w:rsidRDefault="00453052" w:rsidP="00453052">
      <w:pPr>
        <w:pStyle w:val="PrIText"/>
        <w:rPr>
          <w:rFonts w:ascii="Times New Roman" w:hAnsi="Times New Roman"/>
          <w:noProof w:val="0"/>
          <w:lang w:val="en-US"/>
        </w:rPr>
      </w:pPr>
      <w:r w:rsidRPr="00996D8A">
        <w:rPr>
          <w:lang w:val="en-US"/>
        </w:rPr>
        <w:t xml:space="preserve">Head of </w:t>
      </w:r>
      <w:r w:rsidR="00E26075">
        <w:rPr>
          <w:lang w:val="en-US"/>
        </w:rPr>
        <w:t>Public Relations</w:t>
      </w:r>
      <w:r w:rsidRPr="00996D8A">
        <w:rPr>
          <w:lang w:val="en-US"/>
        </w:rPr>
        <w:t xml:space="preserve">, </w:t>
      </w:r>
      <w:r w:rsidRPr="00996D8A">
        <w:rPr>
          <w:rFonts w:ascii="Times New Roman" w:hAnsi="Times New Roman"/>
          <w:noProof w:val="0"/>
          <w:lang w:val="en-US"/>
        </w:rPr>
        <w:t>KRONES AG</w:t>
      </w:r>
    </w:p>
    <w:p w:rsidR="00453052" w:rsidRPr="00996D8A" w:rsidRDefault="00453052" w:rsidP="00453052">
      <w:pPr>
        <w:pStyle w:val="PrIText"/>
        <w:tabs>
          <w:tab w:val="left" w:pos="851"/>
        </w:tabs>
        <w:rPr>
          <w:rFonts w:ascii="Times New Roman" w:hAnsi="Times New Roman"/>
          <w:noProof w:val="0"/>
          <w:szCs w:val="26"/>
          <w:lang w:val="en-US"/>
        </w:rPr>
      </w:pPr>
      <w:r w:rsidRPr="00996D8A">
        <w:rPr>
          <w:rFonts w:ascii="Times New Roman" w:hAnsi="Times New Roman"/>
          <w:noProof w:val="0"/>
          <w:lang w:val="en-US"/>
        </w:rPr>
        <w:t xml:space="preserve">Phone: </w:t>
      </w:r>
      <w:r w:rsidRPr="00996D8A">
        <w:rPr>
          <w:rFonts w:ascii="Times New Roman" w:hAnsi="Times New Roman"/>
          <w:noProof w:val="0"/>
          <w:lang w:val="en-US"/>
        </w:rPr>
        <w:tab/>
        <w:t>+49 9401-70</w:t>
      </w:r>
      <w:r w:rsidR="00E26075">
        <w:rPr>
          <w:rFonts w:ascii="Times New Roman" w:hAnsi="Times New Roman"/>
          <w:noProof w:val="0"/>
          <w:lang w:val="en-US"/>
        </w:rPr>
        <w:t>1970</w:t>
      </w:r>
    </w:p>
    <w:p w:rsidR="00453052" w:rsidRPr="00996D8A" w:rsidRDefault="00453052" w:rsidP="00453052">
      <w:pPr>
        <w:pStyle w:val="PrIText"/>
        <w:tabs>
          <w:tab w:val="left" w:pos="851"/>
        </w:tabs>
        <w:rPr>
          <w:rFonts w:ascii="Times New Roman" w:hAnsi="Times New Roman"/>
          <w:noProof w:val="0"/>
          <w:lang w:val="en-US"/>
        </w:rPr>
      </w:pPr>
      <w:r w:rsidRPr="00996D8A">
        <w:rPr>
          <w:rFonts w:ascii="Times New Roman" w:hAnsi="Times New Roman"/>
          <w:noProof w:val="0"/>
          <w:lang w:val="en-US"/>
        </w:rPr>
        <w:t xml:space="preserve">E-mail: </w:t>
      </w:r>
      <w:r w:rsidRPr="00996D8A">
        <w:rPr>
          <w:rFonts w:ascii="Times New Roman" w:hAnsi="Times New Roman"/>
          <w:noProof w:val="0"/>
          <w:lang w:val="en-US"/>
        </w:rPr>
        <w:tab/>
        <w:t>presse@krones.com</w:t>
      </w:r>
    </w:p>
    <w:p w:rsidR="00026EE6" w:rsidRPr="00453052" w:rsidRDefault="00026EE6" w:rsidP="00F412B6">
      <w:pPr>
        <w:pStyle w:val="PrIText"/>
        <w:jc w:val="right"/>
        <w:rPr>
          <w:rFonts w:ascii="Times New Roman" w:hAnsi="Times New Roman"/>
          <w:noProof w:val="0"/>
          <w:lang w:val="en-US"/>
        </w:rPr>
      </w:pPr>
    </w:p>
    <w:sectPr w:rsidR="00026EE6" w:rsidRPr="00453052" w:rsidSect="00FD297E">
      <w:headerReference w:type="even" r:id="rId7"/>
      <w:headerReference w:type="default" r:id="rId8"/>
      <w:footerReference w:type="even" r:id="rId9"/>
      <w:footerReference w:type="default" r:id="rId10"/>
      <w:headerReference w:type="first" r:id="rId11"/>
      <w:footerReference w:type="first" r:id="rId12"/>
      <w:pgSz w:w="11906" w:h="16838" w:code="9"/>
      <w:pgMar w:top="1701" w:right="1418" w:bottom="1418" w:left="1418" w:header="720" w:footer="42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46DC" w:rsidRDefault="001846DC">
      <w:r>
        <w:separator/>
      </w:r>
    </w:p>
  </w:endnote>
  <w:endnote w:type="continuationSeparator" w:id="0">
    <w:p w:rsidR="001846DC" w:rsidRDefault="00184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heSans-LP5Plain">
    <w:altName w:val="TheSans LP5 Plain"/>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Plai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1CA2" w:rsidRDefault="00081CA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0853" w:rsidRDefault="00E34A1B">
    <w:pPr>
      <w:pStyle w:val="Fuzeile"/>
      <w:ind w:left="60"/>
      <w:jc w:val="right"/>
    </w:pPr>
    <w:r>
      <w:rPr>
        <w:rStyle w:val="Seitenzahl"/>
      </w:rPr>
      <w:fldChar w:fldCharType="begin"/>
    </w:r>
    <w:r w:rsidR="00180853">
      <w:rPr>
        <w:rStyle w:val="Seitenzahl"/>
      </w:rPr>
      <w:instrText xml:space="preserve"> PAGE </w:instrText>
    </w:r>
    <w:r>
      <w:rPr>
        <w:rStyle w:val="Seitenzahl"/>
      </w:rPr>
      <w:fldChar w:fldCharType="separate"/>
    </w:r>
    <w:r w:rsidR="001D3DAF">
      <w:rPr>
        <w:rStyle w:val="Seitenzahl"/>
        <w:noProof/>
      </w:rPr>
      <w:t>2</w:t>
    </w:r>
    <w:r>
      <w:rPr>
        <w:rStyle w:val="Seitenzahl"/>
      </w:rPr>
      <w:fldChar w:fldCharType="end"/>
    </w:r>
  </w:p>
  <w:p w:rsidR="00180853" w:rsidRDefault="00180853">
    <w:pPr>
      <w:pStyle w:val="Fuzeile"/>
      <w:ind w:left="60"/>
    </w:pPr>
  </w:p>
  <w:tbl>
    <w:tblPr>
      <w:tblW w:w="0" w:type="auto"/>
      <w:tblInd w:w="8" w:type="dxa"/>
      <w:tblLayout w:type="fixed"/>
      <w:tblCellMar>
        <w:left w:w="0" w:type="dxa"/>
        <w:right w:w="0" w:type="dxa"/>
      </w:tblCellMar>
      <w:tblLook w:val="0000" w:firstRow="0" w:lastRow="0" w:firstColumn="0" w:lastColumn="0" w:noHBand="0" w:noVBand="0"/>
    </w:tblPr>
    <w:tblGrid>
      <w:gridCol w:w="993"/>
      <w:gridCol w:w="1417"/>
      <w:gridCol w:w="567"/>
      <w:gridCol w:w="1418"/>
      <w:gridCol w:w="3543"/>
    </w:tblGrid>
    <w:tr w:rsidR="00180853">
      <w:trPr>
        <w:cantSplit/>
      </w:trPr>
      <w:tc>
        <w:tcPr>
          <w:tcW w:w="993" w:type="dxa"/>
        </w:tcPr>
        <w:p w:rsidR="00180853" w:rsidRDefault="00180853">
          <w:pPr>
            <w:pStyle w:val="Fuzeile"/>
            <w:spacing w:line="156" w:lineRule="exact"/>
            <w:rPr>
              <w:sz w:val="14"/>
            </w:rPr>
          </w:pPr>
        </w:p>
      </w:tc>
      <w:tc>
        <w:tcPr>
          <w:tcW w:w="1417" w:type="dxa"/>
        </w:tcPr>
        <w:p w:rsidR="00180853" w:rsidRDefault="00180853">
          <w:pPr>
            <w:pStyle w:val="Fuzeile"/>
            <w:spacing w:line="156" w:lineRule="exact"/>
            <w:rPr>
              <w:sz w:val="14"/>
            </w:rPr>
          </w:pPr>
        </w:p>
      </w:tc>
      <w:tc>
        <w:tcPr>
          <w:tcW w:w="567" w:type="dxa"/>
        </w:tcPr>
        <w:p w:rsidR="00180853" w:rsidRDefault="00180853">
          <w:pPr>
            <w:pStyle w:val="Fuzeile"/>
            <w:spacing w:line="156" w:lineRule="exact"/>
            <w:rPr>
              <w:sz w:val="14"/>
            </w:rPr>
          </w:pPr>
        </w:p>
      </w:tc>
      <w:tc>
        <w:tcPr>
          <w:tcW w:w="1418" w:type="dxa"/>
        </w:tcPr>
        <w:p w:rsidR="00180853" w:rsidRDefault="00180853">
          <w:pPr>
            <w:pStyle w:val="Fuzeile"/>
            <w:spacing w:line="156" w:lineRule="exact"/>
            <w:rPr>
              <w:sz w:val="14"/>
            </w:rPr>
          </w:pPr>
        </w:p>
      </w:tc>
      <w:tc>
        <w:tcPr>
          <w:tcW w:w="3543" w:type="dxa"/>
        </w:tcPr>
        <w:p w:rsidR="00180853" w:rsidRDefault="00180853">
          <w:pPr>
            <w:pStyle w:val="Fuzeile"/>
            <w:spacing w:line="156" w:lineRule="exact"/>
            <w:rPr>
              <w:sz w:val="14"/>
            </w:rPr>
          </w:pPr>
        </w:p>
      </w:tc>
    </w:tr>
  </w:tbl>
  <w:p w:rsidR="00180853" w:rsidRDefault="0018085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 w:type="dxa"/>
      <w:tblLayout w:type="fixed"/>
      <w:tblCellMar>
        <w:left w:w="0" w:type="dxa"/>
        <w:right w:w="0" w:type="dxa"/>
      </w:tblCellMar>
      <w:tblLook w:val="0000" w:firstRow="0" w:lastRow="0" w:firstColumn="0" w:lastColumn="0" w:noHBand="0" w:noVBand="0"/>
    </w:tblPr>
    <w:tblGrid>
      <w:gridCol w:w="1134"/>
      <w:gridCol w:w="1560"/>
      <w:gridCol w:w="567"/>
      <w:gridCol w:w="1701"/>
      <w:gridCol w:w="4110"/>
    </w:tblGrid>
    <w:tr w:rsidR="00180853" w:rsidRPr="00062804">
      <w:trPr>
        <w:cantSplit/>
      </w:trPr>
      <w:tc>
        <w:tcPr>
          <w:tcW w:w="1134" w:type="dxa"/>
        </w:tcPr>
        <w:p w:rsidR="00180853" w:rsidRDefault="00525CAC">
          <w:pPr>
            <w:pStyle w:val="Fuzeile"/>
            <w:spacing w:line="156" w:lineRule="exact"/>
            <w:rPr>
              <w:rFonts w:ascii="TheSans-Plain" w:hAnsi="TheSans-Plain"/>
              <w:sz w:val="14"/>
            </w:rPr>
          </w:pPr>
          <w:r>
            <w:rPr>
              <w:rFonts w:ascii="TheSans-Plain" w:hAnsi="TheSans-Plain"/>
              <w:sz w:val="14"/>
            </w:rPr>
            <w:t>Krones</w:t>
          </w:r>
          <w:r w:rsidR="00180853">
            <w:rPr>
              <w:rFonts w:ascii="TheSans-Plain" w:hAnsi="TheSans-Plain"/>
              <w:sz w:val="14"/>
            </w:rPr>
            <w:t xml:space="preserve"> AG</w:t>
          </w:r>
        </w:p>
        <w:p w:rsidR="00180853" w:rsidRDefault="00180853" w:rsidP="0063139D">
          <w:pPr>
            <w:pStyle w:val="Fuzeile"/>
            <w:spacing w:line="156" w:lineRule="exact"/>
            <w:rPr>
              <w:rFonts w:ascii="TheSans-Plain" w:hAnsi="TheSans-Plain"/>
              <w:sz w:val="14"/>
            </w:rPr>
          </w:pPr>
          <w:r>
            <w:rPr>
              <w:rFonts w:ascii="TheSans-Plain" w:hAnsi="TheSans-Plain"/>
              <w:sz w:val="14"/>
            </w:rPr>
            <w:t>Press</w:t>
          </w:r>
          <w:r w:rsidR="0063139D">
            <w:rPr>
              <w:rFonts w:ascii="TheSans-Plain" w:hAnsi="TheSans-Plain"/>
              <w:sz w:val="14"/>
            </w:rPr>
            <w:t xml:space="preserve"> Office</w:t>
          </w:r>
        </w:p>
      </w:tc>
      <w:tc>
        <w:tcPr>
          <w:tcW w:w="1560" w:type="dxa"/>
        </w:tcPr>
        <w:p w:rsidR="00180853" w:rsidRDefault="00180853">
          <w:pPr>
            <w:pStyle w:val="Fuzeile"/>
            <w:spacing w:line="156" w:lineRule="exact"/>
            <w:rPr>
              <w:rFonts w:ascii="TheSans-Plain" w:hAnsi="TheSans-Plain"/>
              <w:sz w:val="14"/>
            </w:rPr>
          </w:pPr>
          <w:proofErr w:type="spellStart"/>
          <w:r>
            <w:rPr>
              <w:rFonts w:ascii="TheSans-Plain" w:hAnsi="TheSans-Plain"/>
              <w:sz w:val="14"/>
            </w:rPr>
            <w:t>Böhmerwaldstra</w:t>
          </w:r>
          <w:r w:rsidR="0063139D">
            <w:rPr>
              <w:rFonts w:ascii="TheSans-Plain" w:hAnsi="TheSans-Plain"/>
              <w:sz w:val="14"/>
            </w:rPr>
            <w:t>ss</w:t>
          </w:r>
          <w:r>
            <w:rPr>
              <w:rFonts w:ascii="TheSans-Plain" w:hAnsi="TheSans-Plain"/>
              <w:sz w:val="14"/>
            </w:rPr>
            <w:t>e</w:t>
          </w:r>
          <w:proofErr w:type="spellEnd"/>
          <w:r>
            <w:rPr>
              <w:rFonts w:ascii="TheSans-Plain" w:hAnsi="TheSans-Plain"/>
              <w:sz w:val="14"/>
            </w:rPr>
            <w:t xml:space="preserve"> 5</w:t>
          </w:r>
        </w:p>
        <w:p w:rsidR="00180853" w:rsidRDefault="00180853">
          <w:pPr>
            <w:pStyle w:val="Fuzeile"/>
            <w:spacing w:line="156" w:lineRule="exact"/>
            <w:rPr>
              <w:rFonts w:ascii="TheSans-Plain" w:hAnsi="TheSans-Plain"/>
              <w:sz w:val="14"/>
            </w:rPr>
          </w:pPr>
          <w:r>
            <w:rPr>
              <w:rFonts w:ascii="TheSans-Plain" w:hAnsi="TheSans-Plain"/>
              <w:sz w:val="14"/>
            </w:rPr>
            <w:t>93073 Neutraubling</w:t>
          </w:r>
        </w:p>
        <w:p w:rsidR="00180853" w:rsidRDefault="00180853">
          <w:pPr>
            <w:pStyle w:val="Fuzeile"/>
            <w:spacing w:line="156" w:lineRule="exact"/>
            <w:rPr>
              <w:rFonts w:ascii="TheSans-Plain" w:hAnsi="TheSans-Plain"/>
              <w:sz w:val="14"/>
            </w:rPr>
          </w:pPr>
          <w:r>
            <w:rPr>
              <w:rFonts w:ascii="TheSans-Plain" w:hAnsi="TheSans-Plain"/>
              <w:sz w:val="14"/>
            </w:rPr>
            <w:t>Germany</w:t>
          </w:r>
        </w:p>
      </w:tc>
      <w:tc>
        <w:tcPr>
          <w:tcW w:w="567" w:type="dxa"/>
        </w:tcPr>
        <w:p w:rsidR="00180853" w:rsidRDefault="00006CAA">
          <w:pPr>
            <w:pStyle w:val="Fuzeile"/>
            <w:spacing w:line="156" w:lineRule="exact"/>
            <w:rPr>
              <w:rFonts w:ascii="TheSans-Plain" w:hAnsi="TheSans-Plain"/>
              <w:sz w:val="14"/>
              <w:lang w:val="it-IT"/>
            </w:rPr>
          </w:pPr>
          <w:proofErr w:type="spellStart"/>
          <w:r>
            <w:rPr>
              <w:rFonts w:ascii="TheSans-Plain" w:hAnsi="TheSans-Plain"/>
              <w:sz w:val="14"/>
              <w:lang w:val="it-IT"/>
            </w:rPr>
            <w:t>Pnone</w:t>
          </w:r>
          <w:proofErr w:type="spellEnd"/>
        </w:p>
        <w:p w:rsidR="00180853" w:rsidRDefault="00006CAA">
          <w:pPr>
            <w:pStyle w:val="Fuzeile"/>
            <w:spacing w:line="156" w:lineRule="exact"/>
            <w:rPr>
              <w:rFonts w:ascii="TheSans-Plain" w:hAnsi="TheSans-Plain"/>
              <w:sz w:val="14"/>
              <w:lang w:val="it-IT"/>
            </w:rPr>
          </w:pPr>
          <w:r>
            <w:rPr>
              <w:rFonts w:ascii="TheSans-Plain" w:hAnsi="TheSans-Plain"/>
              <w:sz w:val="14"/>
              <w:lang w:val="it-IT"/>
            </w:rPr>
            <w:t>E</w:t>
          </w:r>
          <w:r w:rsidR="00180853">
            <w:rPr>
              <w:rFonts w:ascii="TheSans-Plain" w:hAnsi="TheSans-Plain"/>
              <w:sz w:val="14"/>
              <w:lang w:val="it-IT"/>
            </w:rPr>
            <w:t>-mail</w:t>
          </w:r>
        </w:p>
        <w:p w:rsidR="00180853" w:rsidRDefault="00180853">
          <w:pPr>
            <w:pStyle w:val="Fuzeile"/>
            <w:spacing w:line="156" w:lineRule="exact"/>
            <w:rPr>
              <w:rFonts w:ascii="TheSans-Plain" w:hAnsi="TheSans-Plain"/>
              <w:sz w:val="14"/>
            </w:rPr>
          </w:pPr>
          <w:r>
            <w:rPr>
              <w:rFonts w:ascii="TheSans-Plain" w:hAnsi="TheSans-Plain"/>
              <w:sz w:val="14"/>
            </w:rPr>
            <w:t>Internet</w:t>
          </w:r>
        </w:p>
      </w:tc>
      <w:tc>
        <w:tcPr>
          <w:tcW w:w="1701" w:type="dxa"/>
        </w:tcPr>
        <w:p w:rsidR="00180853" w:rsidRDefault="00180853">
          <w:pPr>
            <w:pStyle w:val="Fuzeile"/>
            <w:spacing w:line="156" w:lineRule="exact"/>
            <w:rPr>
              <w:rFonts w:ascii="TheSans-Plain" w:hAnsi="TheSans-Plain"/>
              <w:sz w:val="14"/>
            </w:rPr>
          </w:pPr>
          <w:r>
            <w:rPr>
              <w:rFonts w:ascii="TheSans-Plain" w:hAnsi="TheSans-Plain"/>
              <w:sz w:val="14"/>
            </w:rPr>
            <w:t xml:space="preserve">+49 9401 70 </w:t>
          </w:r>
          <w:r w:rsidR="0057237A">
            <w:rPr>
              <w:rFonts w:ascii="TheSans-Plain" w:hAnsi="TheSans-Plain"/>
              <w:sz w:val="14"/>
            </w:rPr>
            <w:t>1970</w:t>
          </w:r>
        </w:p>
        <w:p w:rsidR="00180853" w:rsidRDefault="00180853">
          <w:pPr>
            <w:pStyle w:val="Fuzeile"/>
            <w:spacing w:line="156" w:lineRule="exact"/>
            <w:rPr>
              <w:rFonts w:ascii="TheSans-Plain" w:hAnsi="TheSans-Plain"/>
              <w:sz w:val="14"/>
            </w:rPr>
          </w:pPr>
          <w:r>
            <w:rPr>
              <w:rFonts w:ascii="TheSans-Plain" w:hAnsi="TheSans-Plain"/>
              <w:sz w:val="14"/>
            </w:rPr>
            <w:t>presse@krones.com</w:t>
          </w:r>
        </w:p>
        <w:p w:rsidR="00180853" w:rsidRDefault="00180853">
          <w:pPr>
            <w:pStyle w:val="Fuzeile"/>
            <w:spacing w:line="156" w:lineRule="exact"/>
            <w:rPr>
              <w:rFonts w:ascii="TheSans-Plain" w:hAnsi="TheSans-Plain"/>
              <w:sz w:val="14"/>
            </w:rPr>
          </w:pPr>
          <w:r>
            <w:rPr>
              <w:rFonts w:ascii="TheSans-Plain" w:hAnsi="TheSans-Plain"/>
              <w:sz w:val="14"/>
            </w:rPr>
            <w:t>www.krones.com</w:t>
          </w:r>
        </w:p>
      </w:tc>
      <w:tc>
        <w:tcPr>
          <w:tcW w:w="4110" w:type="dxa"/>
        </w:tcPr>
        <w:p w:rsidR="00180853" w:rsidRPr="00CC444C" w:rsidRDefault="00180853">
          <w:pPr>
            <w:pStyle w:val="Fuzeile"/>
            <w:spacing w:line="156" w:lineRule="exact"/>
            <w:rPr>
              <w:rFonts w:ascii="TheSans-Plain" w:hAnsi="TheSans-Plain"/>
              <w:sz w:val="14"/>
              <w:lang w:val="en-US"/>
            </w:rPr>
          </w:pPr>
          <w:proofErr w:type="spellStart"/>
          <w:r w:rsidRPr="00CC444C">
            <w:rPr>
              <w:rFonts w:ascii="TheSans-Plain" w:hAnsi="TheSans-Plain"/>
              <w:sz w:val="14"/>
              <w:lang w:val="en-US"/>
            </w:rPr>
            <w:t>Beleg</w:t>
          </w:r>
          <w:proofErr w:type="spellEnd"/>
          <w:r w:rsidRPr="00CC444C">
            <w:rPr>
              <w:rFonts w:ascii="TheSans-Plain" w:hAnsi="TheSans-Plain"/>
              <w:sz w:val="14"/>
              <w:lang w:val="en-US"/>
            </w:rPr>
            <w:t xml:space="preserve"> </w:t>
          </w:r>
          <w:proofErr w:type="spellStart"/>
          <w:r w:rsidRPr="00CC444C">
            <w:rPr>
              <w:rFonts w:ascii="TheSans-Plain" w:hAnsi="TheSans-Plain"/>
              <w:sz w:val="14"/>
              <w:lang w:val="en-US"/>
            </w:rPr>
            <w:t>erbeten</w:t>
          </w:r>
          <w:proofErr w:type="spellEnd"/>
          <w:r w:rsidRPr="00CC444C">
            <w:rPr>
              <w:rFonts w:ascii="TheSans-Plain" w:hAnsi="TheSans-Plain"/>
              <w:sz w:val="14"/>
              <w:lang w:val="en-US"/>
            </w:rPr>
            <w:t xml:space="preserve"> an: </w:t>
          </w:r>
          <w:r w:rsidR="00525CAC">
            <w:rPr>
              <w:rFonts w:ascii="TheSans-Plain" w:hAnsi="TheSans-Plain"/>
              <w:sz w:val="14"/>
              <w:lang w:val="en-US"/>
            </w:rPr>
            <w:t>Krones</w:t>
          </w:r>
          <w:r w:rsidRPr="00CC444C">
            <w:rPr>
              <w:rFonts w:ascii="TheSans-Plain" w:hAnsi="TheSans-Plain"/>
              <w:sz w:val="14"/>
              <w:lang w:val="en-US"/>
            </w:rPr>
            <w:t xml:space="preserve"> AG</w:t>
          </w:r>
        </w:p>
        <w:p w:rsidR="00180853" w:rsidRDefault="00180853">
          <w:pPr>
            <w:pStyle w:val="Fuzeile"/>
            <w:spacing w:line="156" w:lineRule="exact"/>
            <w:rPr>
              <w:rFonts w:ascii="TheSans-Plain" w:hAnsi="TheSans-Plain"/>
              <w:sz w:val="14"/>
              <w:lang w:val="en-US"/>
            </w:rPr>
          </w:pPr>
          <w:r>
            <w:rPr>
              <w:rFonts w:ascii="TheSans-Plain" w:hAnsi="TheSans-Plain"/>
              <w:sz w:val="14"/>
              <w:lang w:val="en-US"/>
            </w:rPr>
            <w:t xml:space="preserve">Please send a copy of publication to: </w:t>
          </w:r>
          <w:r w:rsidR="00525CAC">
            <w:rPr>
              <w:rFonts w:ascii="TheSans-Plain" w:hAnsi="TheSans-Plain"/>
              <w:sz w:val="14"/>
              <w:lang w:val="en-US"/>
            </w:rPr>
            <w:t>Krones</w:t>
          </w:r>
          <w:r>
            <w:rPr>
              <w:rFonts w:ascii="TheSans-Plain" w:hAnsi="TheSans-Plain"/>
              <w:sz w:val="14"/>
              <w:lang w:val="en-US"/>
            </w:rPr>
            <w:t xml:space="preserve"> AG </w:t>
          </w:r>
        </w:p>
        <w:p w:rsidR="00180853" w:rsidRDefault="00180853">
          <w:pPr>
            <w:pStyle w:val="Fuzeile"/>
            <w:spacing w:line="156" w:lineRule="exact"/>
            <w:rPr>
              <w:rFonts w:ascii="TheSans-Plain" w:hAnsi="TheSans-Plain"/>
              <w:sz w:val="14"/>
              <w:lang w:val="fr-FR"/>
            </w:rPr>
          </w:pPr>
          <w:r>
            <w:rPr>
              <w:rFonts w:ascii="TheSans-Plain" w:hAnsi="TheSans-Plain"/>
              <w:sz w:val="14"/>
              <w:lang w:val="fr-FR"/>
            </w:rPr>
            <w:t xml:space="preserve">Veuillez envoyer une copie de la publication à: </w:t>
          </w:r>
          <w:r w:rsidR="00525CAC">
            <w:rPr>
              <w:rFonts w:ascii="TheSans-Plain" w:hAnsi="TheSans-Plain"/>
              <w:sz w:val="14"/>
              <w:lang w:val="fr-FR"/>
            </w:rPr>
            <w:t>Krones</w:t>
          </w:r>
          <w:r>
            <w:rPr>
              <w:rFonts w:ascii="TheSans-Plain" w:hAnsi="TheSans-Plain"/>
              <w:sz w:val="14"/>
              <w:lang w:val="fr-FR"/>
            </w:rPr>
            <w:t xml:space="preserve"> AG</w:t>
          </w:r>
        </w:p>
        <w:p w:rsidR="00180853" w:rsidRPr="00CC444C" w:rsidRDefault="00180853">
          <w:pPr>
            <w:pStyle w:val="Fuzeile"/>
            <w:spacing w:line="156" w:lineRule="exact"/>
            <w:rPr>
              <w:rFonts w:ascii="TheSans-Plain" w:hAnsi="TheSans-Plain"/>
              <w:sz w:val="14"/>
              <w:lang w:val="en-US"/>
            </w:rPr>
          </w:pPr>
          <w:proofErr w:type="spellStart"/>
          <w:r w:rsidRPr="00CC444C">
            <w:rPr>
              <w:rFonts w:ascii="TheSans-Plain" w:hAnsi="TheSans-Plain"/>
              <w:sz w:val="14"/>
              <w:lang w:val="en-US"/>
            </w:rPr>
            <w:t>Sírvanse</w:t>
          </w:r>
          <w:proofErr w:type="spellEnd"/>
          <w:r w:rsidRPr="00CC444C">
            <w:rPr>
              <w:rFonts w:ascii="TheSans-Plain" w:hAnsi="TheSans-Plain"/>
              <w:sz w:val="14"/>
              <w:lang w:val="en-US"/>
            </w:rPr>
            <w:t xml:space="preserve"> </w:t>
          </w:r>
          <w:proofErr w:type="spellStart"/>
          <w:r w:rsidRPr="00CC444C">
            <w:rPr>
              <w:rFonts w:ascii="TheSans-Plain" w:hAnsi="TheSans-Plain"/>
              <w:sz w:val="14"/>
              <w:lang w:val="en-US"/>
            </w:rPr>
            <w:t>enviar</w:t>
          </w:r>
          <w:proofErr w:type="spellEnd"/>
          <w:r w:rsidRPr="00CC444C">
            <w:rPr>
              <w:rFonts w:ascii="TheSans-Plain" w:hAnsi="TheSans-Plain"/>
              <w:sz w:val="14"/>
              <w:lang w:val="en-US"/>
            </w:rPr>
            <w:t xml:space="preserve"> </w:t>
          </w:r>
          <w:proofErr w:type="spellStart"/>
          <w:r w:rsidRPr="00CC444C">
            <w:rPr>
              <w:rFonts w:ascii="TheSans-Plain" w:hAnsi="TheSans-Plain"/>
              <w:sz w:val="14"/>
              <w:lang w:val="en-US"/>
            </w:rPr>
            <w:t>una</w:t>
          </w:r>
          <w:proofErr w:type="spellEnd"/>
          <w:r w:rsidRPr="00CC444C">
            <w:rPr>
              <w:rFonts w:ascii="TheSans-Plain" w:hAnsi="TheSans-Plain"/>
              <w:sz w:val="14"/>
              <w:lang w:val="en-US"/>
            </w:rPr>
            <w:t xml:space="preserve"> </w:t>
          </w:r>
          <w:proofErr w:type="spellStart"/>
          <w:r w:rsidRPr="00CC444C">
            <w:rPr>
              <w:rFonts w:ascii="TheSans-Plain" w:hAnsi="TheSans-Plain"/>
              <w:sz w:val="14"/>
              <w:lang w:val="en-US"/>
            </w:rPr>
            <w:t>copia</w:t>
          </w:r>
          <w:proofErr w:type="spellEnd"/>
          <w:r w:rsidRPr="00CC444C">
            <w:rPr>
              <w:rFonts w:ascii="TheSans-Plain" w:hAnsi="TheSans-Plain"/>
              <w:sz w:val="14"/>
              <w:lang w:val="en-US"/>
            </w:rPr>
            <w:t xml:space="preserve"> de la </w:t>
          </w:r>
          <w:proofErr w:type="spellStart"/>
          <w:r w:rsidRPr="00CC444C">
            <w:rPr>
              <w:rFonts w:ascii="TheSans-Plain" w:hAnsi="TheSans-Plain"/>
              <w:sz w:val="14"/>
              <w:lang w:val="en-US"/>
            </w:rPr>
            <w:t>publicación</w:t>
          </w:r>
          <w:proofErr w:type="spellEnd"/>
          <w:r w:rsidRPr="00CC444C">
            <w:rPr>
              <w:rFonts w:ascii="TheSans-Plain" w:hAnsi="TheSans-Plain"/>
              <w:sz w:val="14"/>
              <w:lang w:val="en-US"/>
            </w:rPr>
            <w:t xml:space="preserve"> a: </w:t>
          </w:r>
          <w:r w:rsidR="00525CAC">
            <w:rPr>
              <w:rFonts w:ascii="TheSans-Plain" w:hAnsi="TheSans-Plain"/>
              <w:sz w:val="14"/>
              <w:lang w:val="en-US"/>
            </w:rPr>
            <w:t>Krones</w:t>
          </w:r>
          <w:r w:rsidRPr="00CC444C">
            <w:rPr>
              <w:rFonts w:ascii="TheSans-Plain" w:hAnsi="TheSans-Plain"/>
              <w:sz w:val="14"/>
              <w:lang w:val="en-US"/>
            </w:rPr>
            <w:t xml:space="preserve"> AG</w:t>
          </w:r>
        </w:p>
      </w:tc>
    </w:tr>
  </w:tbl>
  <w:p w:rsidR="00180853" w:rsidRPr="00CC444C" w:rsidRDefault="00180853">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46DC" w:rsidRDefault="001846DC">
      <w:r>
        <w:separator/>
      </w:r>
    </w:p>
  </w:footnote>
  <w:footnote w:type="continuationSeparator" w:id="0">
    <w:p w:rsidR="001846DC" w:rsidRDefault="001846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1CA2" w:rsidRDefault="00081CA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0853" w:rsidRDefault="00180853">
    <w:pPr>
      <w:pStyle w:val="Kopfzeile"/>
      <w:rPr>
        <w:rStyle w:val="Seitenzahl"/>
        <w:rFonts w:ascii="Times" w:hAnsi="Times"/>
        <w:b/>
        <w:sz w:val="22"/>
      </w:rPr>
    </w:pPr>
    <w:r>
      <w:rPr>
        <w:rFonts w:ascii="Times" w:hAnsi="Times"/>
        <w:b/>
        <w:noProof/>
      </w:rPr>
      <w:drawing>
        <wp:anchor distT="0" distB="0" distL="114300" distR="114300" simplePos="0" relativeHeight="251658240" behindDoc="0" locked="0" layoutInCell="1" allowOverlap="1" wp14:anchorId="6BBFE022" wp14:editId="3B066D9D">
          <wp:simplePos x="0" y="0"/>
          <wp:positionH relativeFrom="column">
            <wp:posOffset>3934460</wp:posOffset>
          </wp:positionH>
          <wp:positionV relativeFrom="paragraph">
            <wp:posOffset>2540</wp:posOffset>
          </wp:positionV>
          <wp:extent cx="1828800" cy="561975"/>
          <wp:effectExtent l="0" t="0" r="0" b="9525"/>
          <wp:wrapSquare wrapText="bothSides"/>
          <wp:docPr id="3" name="Bild 3"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975"/>
                  </a:xfrm>
                  <a:prstGeom prst="rect">
                    <a:avLst/>
                  </a:prstGeom>
                  <a:noFill/>
                  <a:ln>
                    <a:noFill/>
                  </a:ln>
                </pic:spPr>
              </pic:pic>
            </a:graphicData>
          </a:graphic>
        </wp:anchor>
      </w:drawing>
    </w:r>
  </w:p>
  <w:p w:rsidR="00180853" w:rsidRDefault="00180853">
    <w:pPr>
      <w:pStyle w:val="Kopfzeile"/>
      <w:rPr>
        <w:rFonts w:ascii="Times" w:hAnsi="Times"/>
        <w:b/>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0853" w:rsidRDefault="00180853">
    <w:pPr>
      <w:pStyle w:val="PrITitel"/>
      <w:rPr>
        <w:lang w:val="en-US"/>
      </w:rPr>
    </w:pPr>
    <w:r>
      <w:rPr>
        <w:sz w:val="20"/>
      </w:rPr>
      <w:drawing>
        <wp:anchor distT="0" distB="0" distL="114300" distR="114300" simplePos="0" relativeHeight="251657216" behindDoc="0" locked="0" layoutInCell="1" allowOverlap="1" wp14:anchorId="00A80438" wp14:editId="48B68633">
          <wp:simplePos x="0" y="0"/>
          <wp:positionH relativeFrom="column">
            <wp:posOffset>4048760</wp:posOffset>
          </wp:positionH>
          <wp:positionV relativeFrom="paragraph">
            <wp:posOffset>2540</wp:posOffset>
          </wp:positionV>
          <wp:extent cx="1828800" cy="561975"/>
          <wp:effectExtent l="0" t="0" r="0" b="9525"/>
          <wp:wrapSquare wrapText="bothSides"/>
          <wp:docPr id="1"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975"/>
                  </a:xfrm>
                  <a:prstGeom prst="rect">
                    <a:avLst/>
                  </a:prstGeom>
                  <a:noFill/>
                  <a:ln>
                    <a:noFill/>
                  </a:ln>
                </pic:spPr>
              </pic:pic>
            </a:graphicData>
          </a:graphic>
        </wp:anchor>
      </w:drawing>
    </w:r>
    <w:r>
      <w:rPr>
        <w:lang w:val="en-US"/>
      </w:rPr>
      <w:t>Presseinformation</w:t>
    </w:r>
  </w:p>
  <w:p w:rsidR="00180853" w:rsidRDefault="00180853">
    <w:pPr>
      <w:pStyle w:val="PrITitel"/>
      <w:rPr>
        <w:lang w:val="en-US"/>
      </w:rPr>
    </w:pPr>
    <w:r>
      <w:rPr>
        <w:lang w:val="en-US"/>
      </w:rPr>
      <w:t>Press release</w:t>
    </w:r>
  </w:p>
  <w:p w:rsidR="00180853" w:rsidRDefault="00180853">
    <w:pPr>
      <w:pStyle w:val="PrITitel"/>
      <w:rPr>
        <w:lang w:val="fr-FR"/>
      </w:rPr>
    </w:pPr>
    <w:r>
      <w:rPr>
        <w:lang w:val="fr-FR"/>
      </w:rPr>
      <w:t>Bulletin de presse</w:t>
    </w:r>
  </w:p>
  <w:p w:rsidR="00180853" w:rsidRDefault="00180853">
    <w:pPr>
      <w:pStyle w:val="PrITitel"/>
      <w:rPr>
        <w:lang w:val="fr-FR"/>
      </w:rPr>
    </w:pPr>
    <w:r>
      <w:rPr>
        <w:lang w:val="fr-FR"/>
      </w:rPr>
      <w:t>Boletín de prensa</w:t>
    </w:r>
  </w:p>
  <w:p w:rsidR="00180853" w:rsidRDefault="00180853">
    <w:pPr>
      <w:pStyle w:val="Kopfzeil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638B"/>
    <w:multiLevelType w:val="singleLevel"/>
    <w:tmpl w:val="22764E40"/>
    <w:lvl w:ilvl="0">
      <w:start w:val="5"/>
      <w:numFmt w:val="bullet"/>
      <w:lvlText w:val="–"/>
      <w:lvlJc w:val="left"/>
      <w:pPr>
        <w:tabs>
          <w:tab w:val="num" w:pos="420"/>
        </w:tabs>
        <w:ind w:left="420" w:hanging="360"/>
      </w:pPr>
      <w:rPr>
        <w:rFonts w:hint="default"/>
      </w:rPr>
    </w:lvl>
  </w:abstractNum>
  <w:abstractNum w:abstractNumId="1" w15:restartNumberingAfterBreak="0">
    <w:nsid w:val="14AE18C5"/>
    <w:multiLevelType w:val="hybridMultilevel"/>
    <w:tmpl w:val="F8324B34"/>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C6B531A"/>
    <w:multiLevelType w:val="hybridMultilevel"/>
    <w:tmpl w:val="82AEC3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3A34100"/>
    <w:multiLevelType w:val="hybridMultilevel"/>
    <w:tmpl w:val="C99CDD2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9DD19F5"/>
    <w:multiLevelType w:val="hybridMultilevel"/>
    <w:tmpl w:val="22DE1EC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7E0566F9"/>
    <w:multiLevelType w:val="hybridMultilevel"/>
    <w:tmpl w:val="50D6BC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1"/>
  </w:num>
  <w:num w:numId="5">
    <w:abstractNumId w:val="1"/>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AFC"/>
    <w:rsid w:val="00006CAA"/>
    <w:rsid w:val="000166C9"/>
    <w:rsid w:val="00026EE6"/>
    <w:rsid w:val="00062804"/>
    <w:rsid w:val="00074A53"/>
    <w:rsid w:val="00081CA2"/>
    <w:rsid w:val="00082432"/>
    <w:rsid w:val="000929FA"/>
    <w:rsid w:val="000C7787"/>
    <w:rsid w:val="000D49FF"/>
    <w:rsid w:val="000E2D3A"/>
    <w:rsid w:val="0010575F"/>
    <w:rsid w:val="001209EA"/>
    <w:rsid w:val="001222A5"/>
    <w:rsid w:val="00122EA8"/>
    <w:rsid w:val="001245B6"/>
    <w:rsid w:val="001304DD"/>
    <w:rsid w:val="0013570C"/>
    <w:rsid w:val="001517BC"/>
    <w:rsid w:val="00164A99"/>
    <w:rsid w:val="00165DFC"/>
    <w:rsid w:val="00180853"/>
    <w:rsid w:val="00181F66"/>
    <w:rsid w:val="001846DC"/>
    <w:rsid w:val="001B287C"/>
    <w:rsid w:val="001D3DAF"/>
    <w:rsid w:val="001D6662"/>
    <w:rsid w:val="00224F96"/>
    <w:rsid w:val="00284C6E"/>
    <w:rsid w:val="00290900"/>
    <w:rsid w:val="0029301D"/>
    <w:rsid w:val="002B704B"/>
    <w:rsid w:val="003002CD"/>
    <w:rsid w:val="003509DA"/>
    <w:rsid w:val="003C2DD2"/>
    <w:rsid w:val="003D78CC"/>
    <w:rsid w:val="00416264"/>
    <w:rsid w:val="00436BD0"/>
    <w:rsid w:val="00453052"/>
    <w:rsid w:val="004806DF"/>
    <w:rsid w:val="004A29A6"/>
    <w:rsid w:val="00505B58"/>
    <w:rsid w:val="00525A8C"/>
    <w:rsid w:val="00525CAC"/>
    <w:rsid w:val="005315E6"/>
    <w:rsid w:val="00531665"/>
    <w:rsid w:val="00562107"/>
    <w:rsid w:val="005643A4"/>
    <w:rsid w:val="0057237A"/>
    <w:rsid w:val="00573C9D"/>
    <w:rsid w:val="005A414F"/>
    <w:rsid w:val="005C5C49"/>
    <w:rsid w:val="0060267B"/>
    <w:rsid w:val="0063139D"/>
    <w:rsid w:val="006A1164"/>
    <w:rsid w:val="006A7E97"/>
    <w:rsid w:val="006B2701"/>
    <w:rsid w:val="006C68E1"/>
    <w:rsid w:val="007530C1"/>
    <w:rsid w:val="007749FE"/>
    <w:rsid w:val="0077775B"/>
    <w:rsid w:val="007C5AFC"/>
    <w:rsid w:val="007F68FE"/>
    <w:rsid w:val="00820C17"/>
    <w:rsid w:val="008368EC"/>
    <w:rsid w:val="0084722A"/>
    <w:rsid w:val="008530B2"/>
    <w:rsid w:val="00856371"/>
    <w:rsid w:val="00856EAF"/>
    <w:rsid w:val="008816F6"/>
    <w:rsid w:val="008B18D9"/>
    <w:rsid w:val="008C0636"/>
    <w:rsid w:val="008C3C8B"/>
    <w:rsid w:val="0091349F"/>
    <w:rsid w:val="009208AB"/>
    <w:rsid w:val="009625DC"/>
    <w:rsid w:val="0097424E"/>
    <w:rsid w:val="00980590"/>
    <w:rsid w:val="009C6109"/>
    <w:rsid w:val="009D3818"/>
    <w:rsid w:val="009D7370"/>
    <w:rsid w:val="00A42C27"/>
    <w:rsid w:val="00A85EFB"/>
    <w:rsid w:val="00AD540E"/>
    <w:rsid w:val="00AE1122"/>
    <w:rsid w:val="00AF226F"/>
    <w:rsid w:val="00B04D9C"/>
    <w:rsid w:val="00B412AB"/>
    <w:rsid w:val="00B57A5A"/>
    <w:rsid w:val="00B66A8F"/>
    <w:rsid w:val="00BD7D24"/>
    <w:rsid w:val="00BF2895"/>
    <w:rsid w:val="00C564E8"/>
    <w:rsid w:val="00C66C5D"/>
    <w:rsid w:val="00C707E7"/>
    <w:rsid w:val="00C90E56"/>
    <w:rsid w:val="00CA03E1"/>
    <w:rsid w:val="00CA0F8C"/>
    <w:rsid w:val="00CC444C"/>
    <w:rsid w:val="00CE78FF"/>
    <w:rsid w:val="00CF71CB"/>
    <w:rsid w:val="00D0134C"/>
    <w:rsid w:val="00D658DF"/>
    <w:rsid w:val="00D74F00"/>
    <w:rsid w:val="00DB021E"/>
    <w:rsid w:val="00DC4C36"/>
    <w:rsid w:val="00DD5169"/>
    <w:rsid w:val="00DF2150"/>
    <w:rsid w:val="00DF3E5C"/>
    <w:rsid w:val="00E06460"/>
    <w:rsid w:val="00E23302"/>
    <w:rsid w:val="00E24726"/>
    <w:rsid w:val="00E24F6B"/>
    <w:rsid w:val="00E26075"/>
    <w:rsid w:val="00E34A1B"/>
    <w:rsid w:val="00E40F2D"/>
    <w:rsid w:val="00E4196E"/>
    <w:rsid w:val="00EC2742"/>
    <w:rsid w:val="00EE45E2"/>
    <w:rsid w:val="00EE5E59"/>
    <w:rsid w:val="00F03447"/>
    <w:rsid w:val="00F10605"/>
    <w:rsid w:val="00F314A8"/>
    <w:rsid w:val="00F412B6"/>
    <w:rsid w:val="00F4689F"/>
    <w:rsid w:val="00F829C4"/>
    <w:rsid w:val="00FA2EFD"/>
    <w:rsid w:val="00FB4C2C"/>
    <w:rsid w:val="00FC2018"/>
    <w:rsid w:val="00FD297E"/>
    <w:rsid w:val="00FE2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8867DA8F-22BE-4DA9-873F-E314AE6C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4806DF"/>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IDist">
    <w:name w:val="PrIDist"/>
    <w:pPr>
      <w:spacing w:before="2268" w:line="567" w:lineRule="exact"/>
    </w:pPr>
    <w:rPr>
      <w:noProof/>
    </w:rPr>
  </w:style>
  <w:style w:type="paragraph" w:customStyle="1" w:styleId="PrITitel">
    <w:name w:val="PrITitel"/>
    <w:pPr>
      <w:spacing w:line="425" w:lineRule="exact"/>
    </w:pPr>
    <w:rPr>
      <w:rFonts w:ascii="Times" w:hAnsi="Times"/>
      <w:noProof/>
      <w:sz w:val="40"/>
    </w:rPr>
  </w:style>
  <w:style w:type="paragraph" w:customStyle="1" w:styleId="PrIHdLn">
    <w:name w:val="PrIHdLn"/>
    <w:pPr>
      <w:spacing w:line="425" w:lineRule="exact"/>
    </w:pPr>
    <w:rPr>
      <w:rFonts w:ascii="Times" w:hAnsi="Times"/>
      <w:noProof/>
      <w:sz w:val="40"/>
    </w:rPr>
  </w:style>
  <w:style w:type="paragraph" w:customStyle="1" w:styleId="PrISubLn">
    <w:name w:val="PrISubLn"/>
    <w:next w:val="PrIText"/>
    <w:pPr>
      <w:spacing w:after="425" w:line="425" w:lineRule="exact"/>
    </w:pPr>
    <w:rPr>
      <w:rFonts w:ascii="Times" w:hAnsi="Times"/>
      <w:noProof/>
      <w:sz w:val="22"/>
    </w:rPr>
  </w:style>
  <w:style w:type="paragraph" w:customStyle="1" w:styleId="PrIText">
    <w:name w:val="PrIText"/>
    <w:pPr>
      <w:spacing w:line="320" w:lineRule="exact"/>
    </w:pPr>
    <w:rPr>
      <w:rFonts w:ascii="Times" w:hAnsi="Times"/>
      <w:noProof/>
      <w:sz w:val="22"/>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rPr>
      <w:rFonts w:ascii="Times" w:hAnsi="Times"/>
      <w:sz w:val="22"/>
    </w:rPr>
  </w:style>
  <w:style w:type="character" w:styleId="Hyperlink">
    <w:name w:val="Hyperlink"/>
    <w:rPr>
      <w:color w:val="0000FF"/>
      <w:u w:val="single"/>
    </w:rPr>
  </w:style>
  <w:style w:type="character" w:styleId="BesuchterLink">
    <w:name w:val="FollowedHyperlink"/>
    <w:rPr>
      <w:color w:val="800080"/>
      <w:u w:val="single"/>
    </w:rPr>
  </w:style>
  <w:style w:type="paragraph" w:styleId="Dokumentstruktur">
    <w:name w:val="Document Map"/>
    <w:basedOn w:val="Standard"/>
    <w:semiHidden/>
    <w:pPr>
      <w:shd w:val="clear" w:color="auto" w:fill="000080"/>
    </w:pPr>
    <w:rPr>
      <w:rFonts w:ascii="Tahoma" w:hAnsi="Tahoma"/>
    </w:rPr>
  </w:style>
  <w:style w:type="paragraph" w:customStyle="1" w:styleId="PrISHdLn">
    <w:name w:val="PrISHdLn"/>
    <w:next w:val="PrIText"/>
    <w:link w:val="PrISHdLnZchn"/>
    <w:pPr>
      <w:spacing w:line="425" w:lineRule="exact"/>
    </w:pPr>
    <w:rPr>
      <w:rFonts w:ascii="Times" w:hAnsi="Times"/>
      <w:noProof/>
      <w:sz w:val="28"/>
    </w:rPr>
  </w:style>
  <w:style w:type="character" w:styleId="Seitenzahl">
    <w:name w:val="page number"/>
    <w:basedOn w:val="Absatz-Standardschriftart"/>
  </w:style>
  <w:style w:type="paragraph" w:customStyle="1" w:styleId="Brief">
    <w:name w:val="Brief"/>
    <w:basedOn w:val="Standard"/>
    <w:pPr>
      <w:spacing w:line="240" w:lineRule="atLeast"/>
    </w:pPr>
    <w:rPr>
      <w:rFonts w:ascii="Helvetica" w:hAnsi="Helvetica"/>
    </w:rPr>
  </w:style>
  <w:style w:type="paragraph" w:styleId="Sprechblasentext">
    <w:name w:val="Balloon Text"/>
    <w:basedOn w:val="Standard"/>
    <w:semiHidden/>
    <w:rsid w:val="00F4689F"/>
    <w:rPr>
      <w:rFonts w:ascii="Tahoma" w:hAnsi="Tahoma" w:cs="Tahoma"/>
      <w:sz w:val="16"/>
      <w:szCs w:val="16"/>
    </w:rPr>
  </w:style>
  <w:style w:type="paragraph" w:customStyle="1" w:styleId="PrIAbs">
    <w:name w:val="PrIAbs"/>
    <w:basedOn w:val="PrISHdLn"/>
    <w:pPr>
      <w:spacing w:line="240" w:lineRule="auto"/>
    </w:pPr>
  </w:style>
  <w:style w:type="character" w:customStyle="1" w:styleId="PrISHdLnZchn">
    <w:name w:val="PrISHdLn Zchn"/>
    <w:link w:val="PrISHdLn"/>
    <w:rsid w:val="002B704B"/>
    <w:rPr>
      <w:rFonts w:ascii="Times" w:hAnsi="Times"/>
      <w:noProof/>
      <w:sz w:val="28"/>
    </w:rPr>
  </w:style>
  <w:style w:type="paragraph" w:customStyle="1" w:styleId="EinfAbs">
    <w:name w:val="[Einf. Abs.]"/>
    <w:basedOn w:val="Standard"/>
    <w:uiPriority w:val="99"/>
    <w:rsid w:val="00CF71CB"/>
    <w:pPr>
      <w:widowControl w:val="0"/>
      <w:autoSpaceDE w:val="0"/>
      <w:autoSpaceDN w:val="0"/>
      <w:adjustRightInd w:val="0"/>
      <w:spacing w:line="283" w:lineRule="atLeast"/>
      <w:textAlignment w:val="center"/>
    </w:pPr>
    <w:rPr>
      <w:rFonts w:ascii="TheSans-LP5Plain" w:eastAsiaTheme="minorEastAsia" w:hAnsi="TheSans-LP5Plain" w:cs="TheSans-LP5Plain"/>
      <w:color w:val="000000"/>
      <w:sz w:val="18"/>
      <w:szCs w:val="18"/>
      <w:lang w:eastAsia="ja-JP"/>
    </w:rPr>
  </w:style>
  <w:style w:type="paragraph" w:styleId="Listenabsatz">
    <w:name w:val="List Paragraph"/>
    <w:basedOn w:val="Standard"/>
    <w:uiPriority w:val="34"/>
    <w:qFormat/>
    <w:rsid w:val="00CF71CB"/>
    <w:pPr>
      <w:ind w:left="720"/>
      <w:contextualSpacing/>
    </w:pPr>
    <w:rPr>
      <w:rFonts w:asciiTheme="minorHAnsi" w:eastAsiaTheme="minorEastAsia" w:hAnsiTheme="minorHAnsi" w:cstheme="minorBidi"/>
      <w:szCs w:val="20"/>
      <w:lang w:eastAsia="ja-JP"/>
    </w:rPr>
  </w:style>
  <w:style w:type="character" w:customStyle="1" w:styleId="Leuchtstift">
    <w:name w:val="Leuchtstift"/>
    <w:uiPriority w:val="99"/>
    <w:rsid w:val="00CF71CB"/>
    <w:rPr>
      <w:u w:val="thick" w:color="FFD500"/>
    </w:rPr>
  </w:style>
  <w:style w:type="paragraph" w:customStyle="1" w:styleId="KeinAbsatzformat">
    <w:name w:val="[Kein Absatzformat]"/>
    <w:rsid w:val="00531665"/>
    <w:pPr>
      <w:widowControl w:val="0"/>
      <w:autoSpaceDE w:val="0"/>
      <w:autoSpaceDN w:val="0"/>
      <w:adjustRightInd w:val="0"/>
      <w:spacing w:line="288" w:lineRule="auto"/>
      <w:textAlignment w:val="center"/>
    </w:pPr>
    <w:rPr>
      <w:rFonts w:ascii="TheSans-LP5Plain" w:eastAsiaTheme="minorEastAsia" w:hAnsi="TheSans-LP5Plain"/>
      <w:color w:val="000000"/>
      <w:sz w:val="24"/>
      <w:szCs w:val="24"/>
      <w:lang w:eastAsia="ja-JP"/>
    </w:rPr>
  </w:style>
  <w:style w:type="table" w:styleId="Tabellenraster">
    <w:name w:val="Table Grid"/>
    <w:basedOn w:val="NormaleTabelle"/>
    <w:uiPriority w:val="59"/>
    <w:rsid w:val="00531665"/>
    <w:rPr>
      <w:rFonts w:asciiTheme="minorHAnsi" w:eastAsiaTheme="minorEastAsia" w:hAnsiTheme="minorHAnsi" w:cstheme="minorBidi"/>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690803">
      <w:bodyDiv w:val="1"/>
      <w:marLeft w:val="0"/>
      <w:marRight w:val="0"/>
      <w:marTop w:val="0"/>
      <w:marBottom w:val="0"/>
      <w:divBdr>
        <w:top w:val="none" w:sz="0" w:space="0" w:color="auto"/>
        <w:left w:val="none" w:sz="0" w:space="0" w:color="auto"/>
        <w:bottom w:val="none" w:sz="0" w:space="0" w:color="auto"/>
        <w:right w:val="none" w:sz="0" w:space="0" w:color="auto"/>
      </w:divBdr>
    </w:div>
    <w:div w:id="82142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688</Words>
  <Characters>3670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Biertaugliche, kostenrelevante PET-Flasche</vt:lpstr>
    </vt:vector>
  </TitlesOfParts>
  <Company>netlearn</Company>
  <LinksUpToDate>false</LinksUpToDate>
  <CharactersWithSpaces>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Biertaugliche, kostenrelevante PET-Flasche</dc:title>
  <dc:creator>Kessler-Zieroth Danuta</dc:creator>
  <cp:lastModifiedBy>Reuschl, Ingrid</cp:lastModifiedBy>
  <cp:revision>7</cp:revision>
  <cp:lastPrinted>2017-02-28T18:20:00Z</cp:lastPrinted>
  <dcterms:created xsi:type="dcterms:W3CDTF">2019-07-10T07:49:00Z</dcterms:created>
  <dcterms:modified xsi:type="dcterms:W3CDTF">2019-07-10T17:45:00Z</dcterms:modified>
</cp:coreProperties>
</file>